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D3230E">
      <w:pPr>
        <w:pStyle w:val="1"/>
        <w:shd w:val="clear" w:color="auto" w:fill="auto"/>
        <w:spacing w:after="240"/>
      </w:pPr>
      <w:r>
        <w:t>Апрель</w:t>
      </w:r>
      <w:bookmarkStart w:id="0" w:name="_GoBack"/>
      <w:bookmarkEnd w:id="0"/>
      <w:r w:rsidR="001B318E">
        <w:t xml:space="preserve"> 202</w:t>
      </w:r>
      <w:r w:rsidR="00A72024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FF5CBB" w:rsidRDefault="00FF5CBB"/>
    <w:sectPr w:rsidR="00FF5CBB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BB" w:rsidRDefault="001B318E">
      <w:r>
        <w:separator/>
      </w:r>
    </w:p>
  </w:endnote>
  <w:endnote w:type="continuationSeparator" w:id="0">
    <w:p w:rsidR="00FF5CBB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363F0E"/>
    <w:rsid w:val="003B4F9A"/>
    <w:rsid w:val="006250F3"/>
    <w:rsid w:val="008909E9"/>
    <w:rsid w:val="00A72024"/>
    <w:rsid w:val="00C468C7"/>
    <w:rsid w:val="00D3230E"/>
    <w:rsid w:val="00D62878"/>
    <w:rsid w:val="00F71867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D252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2024-03-21T14:44:00Z</dcterms:modified>
</cp:coreProperties>
</file>